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47676E0C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/22-0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4139B9">
        <w:rPr>
          <w:rFonts w:cstheme="minorHAnsi"/>
          <w:sz w:val="24"/>
          <w:szCs w:val="24"/>
        </w:rPr>
        <w:t>8</w:t>
      </w:r>
    </w:p>
    <w:p w14:paraId="1E3D3002" w14:textId="513AE148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2186-140-01-22-</w:t>
      </w:r>
      <w:r w:rsidR="004139B9">
        <w:rPr>
          <w:rFonts w:cstheme="minorHAnsi"/>
          <w:sz w:val="24"/>
          <w:szCs w:val="24"/>
        </w:rPr>
        <w:t>7</w:t>
      </w:r>
    </w:p>
    <w:p w14:paraId="0B766765" w14:textId="04099349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4139B9">
        <w:rPr>
          <w:rFonts w:cstheme="minorHAnsi"/>
          <w:sz w:val="24"/>
          <w:szCs w:val="24"/>
          <w:lang w:val="en-US"/>
        </w:rPr>
        <w:t>17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A4020A">
        <w:rPr>
          <w:rFonts w:cstheme="minorHAnsi"/>
          <w:sz w:val="24"/>
          <w:szCs w:val="24"/>
          <w:lang w:val="en-US"/>
        </w:rPr>
        <w:t>1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4139B9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78D35BDA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4139B9">
        <w:rPr>
          <w:rFonts w:cstheme="minorHAnsi"/>
          <w:sz w:val="24"/>
          <w:szCs w:val="24"/>
        </w:rPr>
        <w:t>edukatora-</w:t>
      </w:r>
      <w:proofErr w:type="spellStart"/>
      <w:r w:rsidR="004139B9">
        <w:rPr>
          <w:rFonts w:cstheme="minorHAnsi"/>
          <w:sz w:val="24"/>
          <w:szCs w:val="24"/>
        </w:rPr>
        <w:t>rehabilitatora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>-01/</w:t>
      </w:r>
      <w:r w:rsidR="004139B9">
        <w:rPr>
          <w:rFonts w:cstheme="minorHAnsi"/>
          <w:sz w:val="24"/>
          <w:szCs w:val="24"/>
        </w:rPr>
        <w:t>8</w:t>
      </w:r>
      <w:r w:rsidRPr="003702D4">
        <w:rPr>
          <w:rFonts w:cstheme="minorHAnsi"/>
          <w:sz w:val="24"/>
          <w:szCs w:val="24"/>
        </w:rPr>
        <w:t xml:space="preserve"> URBROJ:2186-140-01-2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-2)  od </w:t>
      </w:r>
      <w:r w:rsidR="004139B9">
        <w:rPr>
          <w:rFonts w:cstheme="minorHAnsi"/>
          <w:sz w:val="24"/>
          <w:szCs w:val="24"/>
        </w:rPr>
        <w:t>14</w:t>
      </w:r>
      <w:r w:rsidRPr="003702D4">
        <w:rPr>
          <w:rFonts w:cstheme="minorHAnsi"/>
          <w:sz w:val="24"/>
          <w:szCs w:val="24"/>
        </w:rPr>
        <w:t xml:space="preserve">. </w:t>
      </w:r>
      <w:r w:rsidR="004139B9">
        <w:rPr>
          <w:rFonts w:cstheme="minorHAnsi"/>
          <w:sz w:val="24"/>
          <w:szCs w:val="24"/>
        </w:rPr>
        <w:t>prosinca</w:t>
      </w:r>
      <w:r w:rsidRPr="003702D4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. godine na određeno puno 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održavanje nastave u posebnom razrednom odjelu,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3F9653D0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4139B9">
        <w:rPr>
          <w:rFonts w:cstheme="minorHAnsi"/>
          <w:b/>
          <w:sz w:val="24"/>
          <w:szCs w:val="24"/>
        </w:rPr>
        <w:t>edukatora-</w:t>
      </w:r>
      <w:proofErr w:type="spellStart"/>
      <w:r w:rsidR="004139B9">
        <w:rPr>
          <w:rFonts w:cstheme="minorHAnsi"/>
          <w:b/>
          <w:sz w:val="24"/>
          <w:szCs w:val="24"/>
        </w:rPr>
        <w:t>rehabilitatora</w:t>
      </w:r>
      <w:proofErr w:type="spellEnd"/>
      <w:r w:rsidR="004A20D3">
        <w:rPr>
          <w:rFonts w:cstheme="minorHAnsi"/>
          <w:b/>
          <w:sz w:val="24"/>
          <w:szCs w:val="24"/>
        </w:rPr>
        <w:t>, određeno puno radno vrijeme</w:t>
      </w:r>
      <w:r w:rsidR="004139B9">
        <w:rPr>
          <w:rFonts w:cstheme="minorHAnsi"/>
          <w:b/>
          <w:sz w:val="24"/>
          <w:szCs w:val="24"/>
        </w:rPr>
        <w:t>, održavanje nastave u posebnom razrednom odjelu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4139B9">
        <w:rPr>
          <w:rFonts w:cstheme="minorHAnsi"/>
          <w:b/>
          <w:sz w:val="24"/>
          <w:szCs w:val="24"/>
        </w:rPr>
        <w:t>14</w:t>
      </w:r>
      <w:r>
        <w:rPr>
          <w:rFonts w:cstheme="minorHAnsi"/>
          <w:b/>
          <w:sz w:val="24"/>
          <w:szCs w:val="24"/>
        </w:rPr>
        <w:t xml:space="preserve">. </w:t>
      </w:r>
      <w:r w:rsidR="004139B9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. 202</w:t>
      </w:r>
      <w:r w:rsidR="008641A3">
        <w:rPr>
          <w:rFonts w:cstheme="minorHAnsi"/>
          <w:b/>
          <w:sz w:val="24"/>
          <w:szCs w:val="24"/>
        </w:rPr>
        <w:t>2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4EF9539D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4139B9">
        <w:rPr>
          <w:rFonts w:cstheme="minorHAnsi"/>
          <w:b/>
          <w:sz w:val="24"/>
          <w:szCs w:val="24"/>
        </w:rPr>
        <w:t>24. siječnja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4139B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4139B9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</w:t>
      </w:r>
      <w:r w:rsidR="004139B9">
        <w:rPr>
          <w:rFonts w:cstheme="minorHAnsi"/>
          <w:b/>
          <w:sz w:val="24"/>
          <w:szCs w:val="24"/>
        </w:rPr>
        <w:t>00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4139B9">
        <w:rPr>
          <w:rFonts w:cstheme="minorHAnsi"/>
          <w:b/>
          <w:sz w:val="24"/>
          <w:szCs w:val="24"/>
        </w:rPr>
        <w:t>JK1 na prvom katu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6F7BBFE2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F9240B">
        <w:rPr>
          <w:rFonts w:cstheme="minorHAnsi"/>
          <w:sz w:val="24"/>
          <w:szCs w:val="24"/>
        </w:rPr>
        <w:t>2</w:t>
      </w:r>
      <w:r w:rsidR="004139B9">
        <w:rPr>
          <w:rFonts w:cstheme="minorHAnsi"/>
          <w:sz w:val="24"/>
          <w:szCs w:val="24"/>
        </w:rPr>
        <w:t>4</w:t>
      </w:r>
      <w:r w:rsidR="00F9240B">
        <w:rPr>
          <w:rFonts w:cstheme="minorHAnsi"/>
          <w:sz w:val="24"/>
          <w:szCs w:val="24"/>
        </w:rPr>
        <w:t xml:space="preserve">. </w:t>
      </w:r>
      <w:r w:rsidR="004139B9">
        <w:rPr>
          <w:rFonts w:cstheme="minorHAnsi"/>
          <w:sz w:val="24"/>
          <w:szCs w:val="24"/>
        </w:rPr>
        <w:t>siječnja</w:t>
      </w:r>
      <w:r w:rsidR="00F9240B">
        <w:rPr>
          <w:rFonts w:cstheme="minorHAnsi"/>
          <w:sz w:val="24"/>
          <w:szCs w:val="24"/>
        </w:rPr>
        <w:t xml:space="preserve"> 202</w:t>
      </w:r>
      <w:r w:rsidR="004139B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4139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:</w:t>
      </w:r>
      <w:r w:rsidR="004139B9">
        <w:rPr>
          <w:rFonts w:cstheme="minorHAnsi"/>
          <w:sz w:val="24"/>
          <w:szCs w:val="24"/>
        </w:rPr>
        <w:t>00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4139B9">
        <w:rPr>
          <w:rFonts w:cstheme="minorHAnsi"/>
          <w:sz w:val="24"/>
          <w:szCs w:val="24"/>
        </w:rPr>
        <w:t>JK1 na prvom katu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3BBFE55A" w:rsidR="0074210F" w:rsidRPr="0074210F" w:rsidRDefault="004139B9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H. H.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5AA1ACBA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4139B9">
        <w:rPr>
          <w:rFonts w:cstheme="minorHAnsi"/>
          <w:b/>
          <w:sz w:val="24"/>
          <w:szCs w:val="24"/>
        </w:rPr>
        <w:t xml:space="preserve">EDUKTORA-REHABILITATORA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</w:t>
        </w:r>
        <w:r w:rsidRPr="001E2A27">
          <w:rPr>
            <w:rStyle w:val="Hiperveza"/>
            <w:rFonts w:cstheme="minorHAnsi"/>
            <w:sz w:val="24"/>
            <w:szCs w:val="24"/>
          </w:rPr>
          <w:t>3</w:t>
        </w:r>
        <w:r w:rsidRPr="001E2A27">
          <w:rPr>
            <w:rStyle w:val="Hiperveza"/>
            <w:rFonts w:cstheme="minorHAnsi"/>
            <w:sz w:val="24"/>
            <w:szCs w:val="24"/>
          </w:rPr>
          <w:t>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74B68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6AC4BE94" w14:textId="77777777" w:rsidR="00F9240B" w:rsidRPr="001E2A27" w:rsidRDefault="00F9240B" w:rsidP="00F924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29447">
    <w:abstractNumId w:val="2"/>
  </w:num>
  <w:num w:numId="2" w16cid:durableId="143027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4057">
    <w:abstractNumId w:val="1"/>
  </w:num>
  <w:num w:numId="4" w16cid:durableId="5200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D306E"/>
    <w:rsid w:val="001D48E3"/>
    <w:rsid w:val="002F2DB0"/>
    <w:rsid w:val="00323FAE"/>
    <w:rsid w:val="003335A8"/>
    <w:rsid w:val="003702D4"/>
    <w:rsid w:val="00373B2A"/>
    <w:rsid w:val="003901AA"/>
    <w:rsid w:val="004139B9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A26E63"/>
    <w:rsid w:val="00A4020A"/>
    <w:rsid w:val="00A537E3"/>
    <w:rsid w:val="00AE60CB"/>
    <w:rsid w:val="00B446AF"/>
    <w:rsid w:val="00BF165B"/>
    <w:rsid w:val="00C7368B"/>
    <w:rsid w:val="00C80529"/>
    <w:rsid w:val="00C95D98"/>
    <w:rsid w:val="00CB69CE"/>
    <w:rsid w:val="00CD1A51"/>
    <w:rsid w:val="00D553C2"/>
    <w:rsid w:val="00D92D7F"/>
    <w:rsid w:val="00DB0BE0"/>
    <w:rsid w:val="00DC37E0"/>
    <w:rsid w:val="00DC4897"/>
    <w:rsid w:val="00DF13BE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2023-01-18T07:03:00Z</dcterms:created>
  <dcterms:modified xsi:type="dcterms:W3CDTF">2023-01-18T07:03:00Z</dcterms:modified>
</cp:coreProperties>
</file>