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12" w:rsidRPr="00F22012" w:rsidRDefault="00F22012">
      <w:pPr>
        <w:rPr>
          <w:sz w:val="20"/>
        </w:rPr>
      </w:pPr>
      <w:r w:rsidRPr="00F22012">
        <w:rPr>
          <w:sz w:val="20"/>
        </w:rPr>
        <w:drawing>
          <wp:inline distT="0" distB="0" distL="0" distR="0">
            <wp:extent cx="3886200" cy="271462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/>
                            <a:lightRig rig="soft" dir="t"/>
                          </a:scene3d>
                          <a:sp3d contourW="12700" prstMaterial="powder">
                            <a:bevelT w="29210" h="12700"/>
                            <a:contourClr>
                              <a:schemeClr val="bg2"/>
                            </a:contourClr>
                          </a:sp3d>
                        </a:bodyPr>
                        <a:lstStyle>
                          <a:lvl1pPr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b="1" kern="120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>
                                <a:outerShdw blurRad="50800" dist="25400" dir="5400000" algn="t" rotWithShape="0">
                                  <a:prstClr val="black">
                                    <a:alpha val="80000"/>
                                  </a:prst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2pPr>
                          <a:lvl3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3pPr>
                          <a:lvl4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4pPr>
                          <a:lvl5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5pPr>
                          <a:lvl6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6pPr>
                          <a:lvl7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7pPr>
                          <a:lvl8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8pPr>
                          <a:lvl9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Kako definirati pravila ponašanja</a:t>
                          </a:r>
                          <a:endParaRPr lang="hr-HR" dirty="0"/>
                        </a:p>
                      </a:txBody>
                      <a:useSpRect/>
                    </a:txSp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r-HR" sz="3200" dirty="0" smtClean="0"/>
                            <a:t>pravila o kojima </a:t>
                          </a:r>
                          <a:r>
                            <a:rPr lang="hr-HR" sz="3200" b="1" dirty="0" smtClean="0"/>
                            <a:t>nema diskusije </a:t>
                          </a:r>
                          <a:r>
                            <a:rPr lang="hr-HR" sz="3200" dirty="0" smtClean="0"/>
                            <a:t>– ponašanje u prometu i u opasnim situacijama</a:t>
                          </a:r>
                        </a:p>
                        <a:p>
                          <a:r>
                            <a:rPr lang="hr-HR" sz="3200" dirty="0" smtClean="0"/>
                            <a:t>promisliti o pravilima iz vlastitog djetinjstva – nisu uvijek najbolje rješenje</a:t>
                          </a:r>
                        </a:p>
                        <a:p>
                          <a:r>
                            <a:rPr lang="hr-HR" sz="3200" dirty="0" smtClean="0"/>
                            <a:t>uvesti rutinu i </a:t>
                          </a:r>
                          <a:r>
                            <a:rPr lang="hr-HR" sz="3200" b="1" dirty="0" smtClean="0"/>
                            <a:t>dosljednost</a:t>
                          </a:r>
                        </a:p>
                        <a:p>
                          <a:r>
                            <a:rPr lang="hr-HR" sz="3200" dirty="0" smtClean="0"/>
                            <a:t>uzeti u obzir dječje prijedloge</a:t>
                          </a:r>
                          <a:endParaRPr lang="hr-HR" sz="3200" dirty="0"/>
                        </a:p>
                      </a:txBody>
                      <a:useSpRect/>
                    </a:txSp>
                  </a:sp>
                  <a:pic>
                    <a:nvPicPr>
                      <a:cNvPr id="5123" name="Picture 3" descr="C:\Users\Jelena\AppData\Local\Microsoft\Windows\Temporary Internet Files\Content.IE5\JDJ8LH5T\MC900434805[1].png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84168" y="3356992"/>
                        <a:ext cx="1828572" cy="1828572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Pr="00F22012">
        <w:rPr>
          <w:sz w:val="20"/>
        </w:rPr>
        <w:drawing>
          <wp:inline distT="0" distB="0" distL="0" distR="0">
            <wp:extent cx="3514725" cy="2657475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/>
                            <a:lightRig rig="soft" dir="t"/>
                          </a:scene3d>
                          <a:sp3d contourW="12700" prstMaterial="powder">
                            <a:bevelT w="29210" h="12700"/>
                            <a:contourClr>
                              <a:schemeClr val="bg2"/>
                            </a:contourClr>
                          </a:sp3d>
                        </a:bodyPr>
                        <a:lstStyle>
                          <a:lvl1pPr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b="1" kern="120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>
                                <a:outerShdw blurRad="50800" dist="25400" dir="5400000" algn="t" rotWithShape="0">
                                  <a:prstClr val="black">
                                    <a:alpha val="80000"/>
                                  </a:prst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2pPr>
                          <a:lvl3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3pPr>
                          <a:lvl4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4pPr>
                          <a:lvl5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5pPr>
                          <a:lvl6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6pPr>
                          <a:lvl7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7pPr>
                          <a:lvl8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8pPr>
                          <a:lvl9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Nepoželjno ponašanje</a:t>
                          </a:r>
                          <a:endParaRPr lang="hr-HR" dirty="0"/>
                        </a:p>
                      </a:txBody>
                      <a:useSpRect/>
                    </a:txSp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925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prije reakcije ispitati </a:t>
                          </a:r>
                          <a:r>
                            <a:rPr lang="hr-HR" b="1" dirty="0" smtClean="0"/>
                            <a:t>razlog</a:t>
                          </a:r>
                        </a:p>
                        <a:p>
                          <a:r>
                            <a:rPr lang="hr-HR" dirty="0" smtClean="0"/>
                            <a:t>ne kažnjavati dijete zbog </a:t>
                          </a:r>
                          <a:r>
                            <a:rPr lang="hr-HR" b="1" dirty="0" smtClean="0"/>
                            <a:t>osobnosti</a:t>
                          </a:r>
                          <a:r>
                            <a:rPr lang="hr-HR" dirty="0" smtClean="0"/>
                            <a:t> (dekoncentrirano, nemirno)</a:t>
                          </a:r>
                        </a:p>
                        <a:p>
                          <a:r>
                            <a:rPr lang="hr-HR" dirty="0" smtClean="0"/>
                            <a:t>mogući razlozi ponašanja:</a:t>
                          </a:r>
                        </a:p>
                        <a:p>
                          <a:pPr marL="514350" indent="-514350">
                            <a:buAutoNum type="arabicPeriod"/>
                          </a:pPr>
                          <a:r>
                            <a:rPr lang="hr-HR" dirty="0" smtClean="0"/>
                            <a:t>ispitivanje granica</a:t>
                          </a:r>
                        </a:p>
                        <a:p>
                          <a:pPr marL="514350" indent="-514350">
                            <a:buAutoNum type="arabicPeriod"/>
                          </a:pPr>
                          <a:r>
                            <a:rPr lang="hr-HR" dirty="0" smtClean="0"/>
                            <a:t>pobuđivanje interesa roditelja</a:t>
                          </a:r>
                        </a:p>
                        <a:p>
                          <a:pPr marL="514350" indent="-514350">
                            <a:buAutoNum type="arabicPeriod"/>
                          </a:pPr>
                          <a:r>
                            <a:rPr lang="hr-HR" dirty="0" smtClean="0"/>
                            <a:t>nesklad roditeljskih stavova (“mama je rekla da mogu”)</a:t>
                          </a:r>
                        </a:p>
                        <a:p>
                          <a:pPr marL="514350" indent="-514350">
                            <a:buAutoNum type="arabicPeriod"/>
                          </a:pPr>
                          <a:r>
                            <a:rPr lang="hr-HR" dirty="0" smtClean="0"/>
                            <a:t>pritisak vršnjaka</a:t>
                          </a:r>
                        </a:p>
                        <a:p>
                          <a:pPr marL="514350" indent="-514350">
                            <a:buAutoNum type="arabicPeriod"/>
                          </a:pPr>
                          <a:r>
                            <a:rPr lang="hr-HR" dirty="0" smtClean="0"/>
                            <a:t>nagoni (dosada, glad, strah...)</a:t>
                          </a:r>
                          <a:endParaRPr lang="hr-HR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22012">
        <w:rPr>
          <w:sz w:val="20"/>
        </w:rPr>
        <w:drawing>
          <wp:inline distT="0" distB="0" distL="0" distR="0">
            <wp:extent cx="3762375" cy="2438400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/>
                            <a:lightRig rig="soft" dir="t"/>
                          </a:scene3d>
                          <a:sp3d contourW="12700" prstMaterial="powder">
                            <a:bevelT w="29210" h="12700"/>
                            <a:contourClr>
                              <a:schemeClr val="bg2"/>
                            </a:contourClr>
                          </a:sp3d>
                        </a:bodyPr>
                        <a:lstStyle>
                          <a:lvl1pPr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b="1" kern="120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>
                                <a:outerShdw blurRad="50800" dist="25400" dir="5400000" algn="t" rotWithShape="0">
                                  <a:prstClr val="black">
                                    <a:alpha val="80000"/>
                                  </a:prst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2pPr>
                          <a:lvl3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3pPr>
                          <a:lvl4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4pPr>
                          <a:lvl5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5pPr>
                          <a:lvl6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6pPr>
                          <a:lvl7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7pPr>
                          <a:lvl8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8pPr>
                          <a:lvl9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Što prije kazne?</a:t>
                          </a:r>
                          <a:endParaRPr lang="hr-HR" dirty="0"/>
                        </a:p>
                      </a:txBody>
                      <a:useSpRect/>
                    </a:txSp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92500" lnSpcReduction="2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kutak za hlađenje</a:t>
                          </a:r>
                        </a:p>
                        <a:p>
                          <a:r>
                            <a:rPr lang="hr-HR" dirty="0" smtClean="0"/>
                            <a:t>upozorenje: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hr-HR" dirty="0" smtClean="0"/>
                            <a:t>odmah nakon ponašanja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hr-HR" b="1" dirty="0" smtClean="0"/>
                            <a:t>izravno</a:t>
                          </a:r>
                          <a:r>
                            <a:rPr lang="hr-HR" dirty="0" smtClean="0"/>
                            <a:t> (“Ne sviđa mi se što si to uzeo.”; </a:t>
                          </a:r>
                          <a:r>
                            <a:rPr lang="hr-HR" strike="sngStrike" dirty="0" smtClean="0"/>
                            <a:t>“Nije u redu tako govoriti.”)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hr-HR" dirty="0" smtClean="0"/>
                            <a:t>reći </a:t>
                          </a:r>
                          <a:r>
                            <a:rPr lang="hr-HR" b="1" dirty="0" smtClean="0"/>
                            <a:t>posljedice</a:t>
                          </a:r>
                          <a:r>
                            <a:rPr lang="hr-HR" dirty="0" smtClean="0"/>
                            <a:t> (“Nastaviš li se tako ponašati, idemo kući.”)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hr-HR" dirty="0" smtClean="0"/>
                            <a:t>ponuditi </a:t>
                          </a:r>
                          <a:r>
                            <a:rPr lang="hr-HR" b="1" dirty="0" smtClean="0"/>
                            <a:t>alternativno rješenje </a:t>
                          </a:r>
                          <a:r>
                            <a:rPr lang="hr-HR" dirty="0" smtClean="0"/>
                            <a:t>(“Želiš li se loptati, izađi u dvorište.”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hr-HR" dirty="0" smtClean="0"/>
                            <a:t>iskazati </a:t>
                          </a:r>
                          <a:r>
                            <a:rPr lang="hr-HR" b="1" dirty="0" smtClean="0"/>
                            <a:t>povjerenje</a:t>
                          </a:r>
                          <a:r>
                            <a:rPr lang="hr-HR" dirty="0" smtClean="0"/>
                            <a:t> (“Znam da to više nećeš raditi.”)</a:t>
                          </a:r>
                        </a:p>
                        <a:p>
                          <a:pPr>
                            <a:buFontTx/>
                            <a:buChar char="-"/>
                          </a:pPr>
                          <a:r>
                            <a:rPr lang="hr-HR" dirty="0" smtClean="0"/>
                            <a:t>umjesto kazne ponuditi </a:t>
                          </a:r>
                          <a:r>
                            <a:rPr lang="hr-HR" b="1" dirty="0" smtClean="0"/>
                            <a:t>nagradu</a:t>
                          </a:r>
                          <a:r>
                            <a:rPr lang="hr-HR" dirty="0" smtClean="0"/>
                            <a:t> (“Čim dovršiš domaću zadaću, možeš ići gledati TV.”)</a:t>
                          </a:r>
                          <a:endParaRPr lang="hr-HR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F22012">
        <w:rPr>
          <w:sz w:val="20"/>
        </w:rPr>
        <w:lastRenderedPageBreak/>
        <w:drawing>
          <wp:inline distT="0" distB="0" distL="0" distR="0">
            <wp:extent cx="3695700" cy="2790825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/>
                            <a:lightRig rig="soft" dir="t"/>
                          </a:scene3d>
                          <a:sp3d contourW="12700" prstMaterial="powder">
                            <a:bevelT w="29210" h="12700"/>
                            <a:contourClr>
                              <a:schemeClr val="bg2"/>
                            </a:contourClr>
                          </a:sp3d>
                        </a:bodyPr>
                        <a:lstStyle>
                          <a:lvl1pPr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b="1" kern="120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>
                                <a:outerShdw blurRad="50800" dist="25400" dir="5400000" algn="t" rotWithShape="0">
                                  <a:prstClr val="black">
                                    <a:alpha val="80000"/>
                                  </a:prst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2pPr>
                          <a:lvl3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3pPr>
                          <a:lvl4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4pPr>
                          <a:lvl5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5pPr>
                          <a:lvl6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6pPr>
                          <a:lvl7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7pPr>
                          <a:lvl8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8pPr>
                          <a:lvl9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Kazne</a:t>
                          </a:r>
                          <a:endParaRPr lang="hr-HR" dirty="0"/>
                        </a:p>
                      </a:txBody>
                      <a:useSpRect/>
                    </a:txSp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sankcionira se </a:t>
                          </a:r>
                          <a:r>
                            <a:rPr lang="hr-HR" b="1" dirty="0" smtClean="0"/>
                            <a:t>ponašanje</a:t>
                          </a:r>
                          <a:r>
                            <a:rPr lang="hr-HR" dirty="0" smtClean="0"/>
                            <a:t> djeteta, ne osobnost</a:t>
                          </a:r>
                        </a:p>
                        <a:p>
                          <a:r>
                            <a:rPr lang="hr-HR" dirty="0" smtClean="0"/>
                            <a:t>prije davanje kazne se </a:t>
                          </a:r>
                          <a:r>
                            <a:rPr lang="hr-HR" b="1" dirty="0" smtClean="0"/>
                            <a:t>ohladiti</a:t>
                          </a:r>
                        </a:p>
                        <a:p>
                          <a:r>
                            <a:rPr lang="hr-HR" dirty="0" smtClean="0"/>
                            <a:t>kazna = prilika za </a:t>
                          </a:r>
                          <a:r>
                            <a:rPr lang="hr-HR" b="1" dirty="0" smtClean="0"/>
                            <a:t>razumijevanje</a:t>
                          </a:r>
                        </a:p>
                        <a:p>
                          <a:r>
                            <a:rPr lang="hr-HR" dirty="0" smtClean="0"/>
                            <a:t>uskladiti sa štetom i dobi djeteta</a:t>
                          </a:r>
                        </a:p>
                        <a:p>
                          <a:r>
                            <a:rPr lang="hr-HR" b="1" dirty="0" smtClean="0"/>
                            <a:t>kratkotrajne</a:t>
                          </a:r>
                        </a:p>
                        <a:p>
                          <a:r>
                            <a:rPr lang="hr-HR" dirty="0" smtClean="0"/>
                            <a:t>uzeti u obzir djetetove prijedloge</a:t>
                          </a:r>
                        </a:p>
                        <a:p>
                          <a:r>
                            <a:rPr lang="hr-HR" dirty="0" smtClean="0"/>
                            <a:t>NIKADA lišiti dijete jela!</a:t>
                          </a:r>
                          <a:endParaRPr lang="hr-HR" dirty="0"/>
                        </a:p>
                      </a:txBody>
                      <a:useSpRect/>
                    </a:txSp>
                  </a:sp>
                  <a:pic>
                    <a:nvPicPr>
                      <a:cNvPr id="7171" name="Picture 3" descr="C:\Users\Jelena\AppData\Local\Microsoft\Windows\Temporary Internet Files\Content.IE5\72H3VWOP\MC900232100[1].wmf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04248" y="2348880"/>
                        <a:ext cx="1224136" cy="3484795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Pr="00F22012">
        <w:rPr>
          <w:sz w:val="20"/>
        </w:rPr>
        <w:drawing>
          <wp:inline distT="0" distB="0" distL="0" distR="0">
            <wp:extent cx="4124325" cy="3114675"/>
            <wp:effectExtent l="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050706"/>
                      <a:chOff x="457200" y="274638"/>
                      <a:chExt cx="8229600" cy="6050706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/>
                            <a:lightRig rig="soft" dir="t"/>
                          </a:scene3d>
                          <a:sp3d contourW="12700" prstMaterial="powder">
                            <a:bevelT w="29210" h="12700"/>
                            <a:contourClr>
                              <a:schemeClr val="bg2"/>
                            </a:contourClr>
                          </a:sp3d>
                        </a:bodyPr>
                        <a:lstStyle>
                          <a:lvl1pPr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b="1" kern="120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>
                                <a:outerShdw blurRad="50800" dist="25400" dir="5400000" algn="t" rotWithShape="0">
                                  <a:prstClr val="black">
                                    <a:alpha val="80000"/>
                                  </a:prst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2pPr>
                          <a:lvl3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3pPr>
                          <a:lvl4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4pPr>
                          <a:lvl5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5pPr>
                          <a:lvl6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6pPr>
                          <a:lvl7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7pPr>
                          <a:lvl8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8pPr>
                          <a:lvl9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Nagrade</a:t>
                          </a:r>
                          <a:endParaRPr lang="hr-HR" dirty="0"/>
                        </a:p>
                      </a:txBody>
                      <a:useSpRect/>
                    </a:txSp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najbolje nakon željenog ponašanja</a:t>
                          </a:r>
                        </a:p>
                        <a:p>
                          <a:r>
                            <a:rPr lang="hr-HR" b="1" dirty="0" smtClean="0"/>
                            <a:t>konkretne</a:t>
                          </a:r>
                          <a:r>
                            <a:rPr lang="hr-HR" dirty="0" smtClean="0"/>
                            <a:t> (za ostvarenje točno određenog zadatka)</a:t>
                          </a:r>
                        </a:p>
                        <a:p>
                          <a:r>
                            <a:rPr lang="hr-HR" b="1" dirty="0" smtClean="0"/>
                            <a:t>određene</a:t>
                          </a:r>
                          <a:r>
                            <a:rPr lang="hr-HR" dirty="0" smtClean="0"/>
                            <a:t> (NE “Kupit ću ti nešto lijepo.”)</a:t>
                          </a:r>
                        </a:p>
                        <a:p>
                          <a:r>
                            <a:rPr lang="hr-HR" dirty="0" smtClean="0"/>
                            <a:t>odgovarajuće vrijednosti</a:t>
                          </a:r>
                        </a:p>
                        <a:p>
                          <a:r>
                            <a:rPr lang="hr-HR" dirty="0" smtClean="0"/>
                            <a:t>ne pretvoriti ih u sredstvo ucjene (“Obučeš li jaknu, možeš navečer gledati TV” </a:t>
                          </a:r>
                          <a:r>
                            <a:rPr lang="hr-HR" dirty="0" smtClean="0">
                              <a:sym typeface="Wingdings" pitchFamily="2" charset="2"/>
                            </a:rPr>
                            <a:t> dovodi do “Što ćeš mi kupiti ako...”.)</a:t>
                          </a:r>
                          <a:endParaRPr lang="hr-HR" dirty="0"/>
                        </a:p>
                      </a:txBody>
                      <a:useSpRect/>
                    </a:txSp>
                  </a:sp>
                  <a:pic>
                    <a:nvPicPr>
                      <a:cNvPr id="8194" name="Picture 2" descr="C:\Users\Jelena\AppData\Local\Microsoft\Windows\Temporary Internet Files\Content.IE5\JDJ8LH5T\MC900437978[1].wmf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868144" y="4725144"/>
                        <a:ext cx="1876425" cy="160020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F22012" w:rsidRPr="00F22012" w:rsidRDefault="00F22012">
      <w:pPr>
        <w:rPr>
          <w:sz w:val="20"/>
        </w:rPr>
      </w:pPr>
      <w:r w:rsidRPr="00F22012">
        <w:rPr>
          <w:sz w:val="20"/>
        </w:rPr>
        <w:drawing>
          <wp:inline distT="0" distB="0" distL="0" distR="0">
            <wp:extent cx="3848100" cy="2819400"/>
            <wp:effectExtent l="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  <a:scene3d>
                            <a:camera prst="orthographicFront"/>
                            <a:lightRig rig="soft" dir="t"/>
                          </a:scene3d>
                          <a:sp3d contourW="12700" prstMaterial="powder">
                            <a:bevelT w="29210" h="12700"/>
                            <a:contourClr>
                              <a:schemeClr val="bg2"/>
                            </a:contourClr>
                          </a:sp3d>
                        </a:bodyPr>
                        <a:lstStyle>
                          <a:lvl1pPr algn="l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b="1" kern="120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>
                                <a:outerShdw blurRad="50800" dist="25400" dir="5400000" algn="t" rotWithShape="0">
                                  <a:prstClr val="black">
                                    <a:alpha val="80000"/>
                                  </a:prst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2pPr>
                          <a:lvl3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3pPr>
                          <a:lvl4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4pPr>
                          <a:lvl5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5pPr>
                          <a:lvl6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6pPr>
                          <a:lvl7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7pPr>
                          <a:lvl8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8pPr>
                          <a:lvl9pPr eaLnBrk="1" hangingPunct="1">
                            <a:defRPr>
                              <a:solidFill>
                                <a:schemeClr val="tx2"/>
                              </a:solidFill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Izvori</a:t>
                          </a:r>
                          <a:endParaRPr lang="hr-HR" dirty="0"/>
                        </a:p>
                      </a:txBody>
                      <a:useSpRect/>
                    </a:txSp>
                  </a:sp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 typeface="Wingdings" pitchFamily="2" charset="2"/>
                            <a:buChar char="§"/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hr-HR" dirty="0" smtClean="0"/>
                            <a:t>Dubravka Kocijan-Hercigonja: Moje se dijete mijenja, u čemu je problem?</a:t>
                          </a:r>
                        </a:p>
                        <a:p>
                          <a:r>
                            <a:rPr lang="hr-HR" dirty="0" smtClean="0"/>
                            <a:t>Nessia Laniado: Nemirna djeca</a:t>
                          </a:r>
                        </a:p>
                        <a:p>
                          <a:r>
                            <a:rPr lang="hr-HR" dirty="0" smtClean="0"/>
                            <a:t>Petra Stamer-Brandt: 55 savjeta kako da vaše dijete bolje nauči pravila</a:t>
                          </a:r>
                        </a:p>
                        <a:p>
                          <a:r>
                            <a:rPr lang="hr-HR" dirty="0" smtClean="0"/>
                            <a:t>Martin Stiefenhofer: 55 savjeta kad se djeca svađaju</a:t>
                          </a:r>
                          <a:endParaRPr lang="hr-HR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F22012" w:rsidRPr="00F22012" w:rsidSect="007A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012"/>
    <w:rsid w:val="00026537"/>
    <w:rsid w:val="00066108"/>
    <w:rsid w:val="000A2A51"/>
    <w:rsid w:val="0010261C"/>
    <w:rsid w:val="00124DCB"/>
    <w:rsid w:val="00137E95"/>
    <w:rsid w:val="001524D0"/>
    <w:rsid w:val="00153FFB"/>
    <w:rsid w:val="00192F50"/>
    <w:rsid w:val="001A1F40"/>
    <w:rsid w:val="001D71E4"/>
    <w:rsid w:val="001E24A4"/>
    <w:rsid w:val="001F0303"/>
    <w:rsid w:val="001F5FD6"/>
    <w:rsid w:val="00211BA4"/>
    <w:rsid w:val="00213B83"/>
    <w:rsid w:val="00227A20"/>
    <w:rsid w:val="002328F3"/>
    <w:rsid w:val="00267011"/>
    <w:rsid w:val="0027695B"/>
    <w:rsid w:val="002863EA"/>
    <w:rsid w:val="002E6179"/>
    <w:rsid w:val="002E76EA"/>
    <w:rsid w:val="003109D5"/>
    <w:rsid w:val="00320B81"/>
    <w:rsid w:val="003453B9"/>
    <w:rsid w:val="00375475"/>
    <w:rsid w:val="003B07DD"/>
    <w:rsid w:val="003B4008"/>
    <w:rsid w:val="003D2265"/>
    <w:rsid w:val="003D383B"/>
    <w:rsid w:val="00414CD4"/>
    <w:rsid w:val="004373B1"/>
    <w:rsid w:val="00442B04"/>
    <w:rsid w:val="0044305A"/>
    <w:rsid w:val="00455068"/>
    <w:rsid w:val="00474DD5"/>
    <w:rsid w:val="00491E12"/>
    <w:rsid w:val="004A75DE"/>
    <w:rsid w:val="004B7503"/>
    <w:rsid w:val="005009B4"/>
    <w:rsid w:val="0054656B"/>
    <w:rsid w:val="005664D2"/>
    <w:rsid w:val="005C3757"/>
    <w:rsid w:val="005D15ED"/>
    <w:rsid w:val="005D1FA2"/>
    <w:rsid w:val="005E625F"/>
    <w:rsid w:val="005F7A4B"/>
    <w:rsid w:val="006311DD"/>
    <w:rsid w:val="0063439C"/>
    <w:rsid w:val="00643BDC"/>
    <w:rsid w:val="00653E06"/>
    <w:rsid w:val="00655E6D"/>
    <w:rsid w:val="00662418"/>
    <w:rsid w:val="00671C35"/>
    <w:rsid w:val="006772AA"/>
    <w:rsid w:val="006B36F2"/>
    <w:rsid w:val="006E0880"/>
    <w:rsid w:val="006F25D7"/>
    <w:rsid w:val="007019A3"/>
    <w:rsid w:val="0073299C"/>
    <w:rsid w:val="0073632D"/>
    <w:rsid w:val="00776197"/>
    <w:rsid w:val="00776A2D"/>
    <w:rsid w:val="00794E61"/>
    <w:rsid w:val="007A76F4"/>
    <w:rsid w:val="007D11B5"/>
    <w:rsid w:val="007D699E"/>
    <w:rsid w:val="007E17EF"/>
    <w:rsid w:val="007F2A42"/>
    <w:rsid w:val="0082154E"/>
    <w:rsid w:val="00854294"/>
    <w:rsid w:val="00875AF0"/>
    <w:rsid w:val="008802FF"/>
    <w:rsid w:val="008921B1"/>
    <w:rsid w:val="008A4DD4"/>
    <w:rsid w:val="008A5AEC"/>
    <w:rsid w:val="008D1E76"/>
    <w:rsid w:val="008D25AA"/>
    <w:rsid w:val="008E0EA7"/>
    <w:rsid w:val="008E1262"/>
    <w:rsid w:val="008F42BA"/>
    <w:rsid w:val="00915004"/>
    <w:rsid w:val="00917B4C"/>
    <w:rsid w:val="00923460"/>
    <w:rsid w:val="009505D9"/>
    <w:rsid w:val="009C7E41"/>
    <w:rsid w:val="009D0837"/>
    <w:rsid w:val="00A101FC"/>
    <w:rsid w:val="00A536DE"/>
    <w:rsid w:val="00A6498F"/>
    <w:rsid w:val="00A65869"/>
    <w:rsid w:val="00A82E3D"/>
    <w:rsid w:val="00A8605D"/>
    <w:rsid w:val="00A87321"/>
    <w:rsid w:val="00A9565E"/>
    <w:rsid w:val="00AA4630"/>
    <w:rsid w:val="00AD4903"/>
    <w:rsid w:val="00B31754"/>
    <w:rsid w:val="00B32E84"/>
    <w:rsid w:val="00B347BB"/>
    <w:rsid w:val="00B40F81"/>
    <w:rsid w:val="00B76498"/>
    <w:rsid w:val="00B81416"/>
    <w:rsid w:val="00B87F92"/>
    <w:rsid w:val="00B9712E"/>
    <w:rsid w:val="00BA2C04"/>
    <w:rsid w:val="00BC3CBE"/>
    <w:rsid w:val="00BD3F7C"/>
    <w:rsid w:val="00BF7791"/>
    <w:rsid w:val="00C00D78"/>
    <w:rsid w:val="00C01E9C"/>
    <w:rsid w:val="00C02F31"/>
    <w:rsid w:val="00C068BB"/>
    <w:rsid w:val="00C10E99"/>
    <w:rsid w:val="00C153F0"/>
    <w:rsid w:val="00C22C24"/>
    <w:rsid w:val="00C30D54"/>
    <w:rsid w:val="00C31F64"/>
    <w:rsid w:val="00C36C71"/>
    <w:rsid w:val="00C41C0B"/>
    <w:rsid w:val="00C47659"/>
    <w:rsid w:val="00C508DD"/>
    <w:rsid w:val="00C85B72"/>
    <w:rsid w:val="00C96ECD"/>
    <w:rsid w:val="00CA0D0B"/>
    <w:rsid w:val="00CA48A9"/>
    <w:rsid w:val="00CB2CC0"/>
    <w:rsid w:val="00CC6428"/>
    <w:rsid w:val="00CC79AF"/>
    <w:rsid w:val="00CD41E4"/>
    <w:rsid w:val="00D0522C"/>
    <w:rsid w:val="00D312D2"/>
    <w:rsid w:val="00D36342"/>
    <w:rsid w:val="00D41369"/>
    <w:rsid w:val="00D838C1"/>
    <w:rsid w:val="00D929C9"/>
    <w:rsid w:val="00D9319E"/>
    <w:rsid w:val="00DA5B59"/>
    <w:rsid w:val="00DA7A4E"/>
    <w:rsid w:val="00DB5A98"/>
    <w:rsid w:val="00DC31CF"/>
    <w:rsid w:val="00DE6CC5"/>
    <w:rsid w:val="00E07B05"/>
    <w:rsid w:val="00E07BEC"/>
    <w:rsid w:val="00E63F89"/>
    <w:rsid w:val="00E71AE6"/>
    <w:rsid w:val="00E77A22"/>
    <w:rsid w:val="00E803AD"/>
    <w:rsid w:val="00E95C51"/>
    <w:rsid w:val="00EC40A2"/>
    <w:rsid w:val="00EE1981"/>
    <w:rsid w:val="00EF303B"/>
    <w:rsid w:val="00F10758"/>
    <w:rsid w:val="00F22012"/>
    <w:rsid w:val="00F267E3"/>
    <w:rsid w:val="00F301AE"/>
    <w:rsid w:val="00F41716"/>
    <w:rsid w:val="00F563BF"/>
    <w:rsid w:val="00F571DF"/>
    <w:rsid w:val="00F57BAC"/>
    <w:rsid w:val="00F74FA9"/>
    <w:rsid w:val="00F77ECF"/>
    <w:rsid w:val="00F9481E"/>
    <w:rsid w:val="00FA3033"/>
    <w:rsid w:val="00FB2CBA"/>
    <w:rsid w:val="00FB60D1"/>
    <w:rsid w:val="00FD3B19"/>
    <w:rsid w:val="00FE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2012-03-04T11:10:00Z</dcterms:created>
  <dcterms:modified xsi:type="dcterms:W3CDTF">2012-03-04T11:14:00Z</dcterms:modified>
</cp:coreProperties>
</file>